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58" w:type="dxa"/>
        <w:tblLook w:val="04A0" w:firstRow="1" w:lastRow="0" w:firstColumn="1" w:lastColumn="0" w:noHBand="0" w:noVBand="1"/>
      </w:tblPr>
      <w:tblGrid>
        <w:gridCol w:w="2405"/>
        <w:gridCol w:w="4678"/>
        <w:gridCol w:w="4510"/>
        <w:gridCol w:w="3865"/>
      </w:tblGrid>
      <w:tr w:rsidR="00C31FB8" w:rsidTr="00E10A63">
        <w:trPr>
          <w:trHeight w:val="475"/>
        </w:trPr>
        <w:tc>
          <w:tcPr>
            <w:tcW w:w="2405" w:type="dxa"/>
            <w:shd w:val="clear" w:color="auto" w:fill="00B0F0"/>
          </w:tcPr>
          <w:p w:rsidR="00C31FB8" w:rsidRPr="00C31FB8" w:rsidRDefault="00C31FB8" w:rsidP="00C31FB8">
            <w:pPr>
              <w:jc w:val="center"/>
              <w:rPr>
                <w:sz w:val="28"/>
              </w:rPr>
            </w:pPr>
            <w:bookmarkStart w:id="0" w:name="_GoBack" w:colFirst="2" w:colLast="2"/>
            <w:r w:rsidRPr="00C31FB8">
              <w:rPr>
                <w:sz w:val="28"/>
              </w:rPr>
              <w:t>Intent</w:t>
            </w:r>
          </w:p>
        </w:tc>
        <w:tc>
          <w:tcPr>
            <w:tcW w:w="4678" w:type="dxa"/>
            <w:shd w:val="clear" w:color="auto" w:fill="00B0F0"/>
          </w:tcPr>
          <w:p w:rsidR="00C31FB8" w:rsidRPr="00C31FB8" w:rsidRDefault="00C31FB8" w:rsidP="00C31FB8">
            <w:pPr>
              <w:jc w:val="center"/>
              <w:rPr>
                <w:sz w:val="28"/>
              </w:rPr>
            </w:pPr>
            <w:r w:rsidRPr="00C31FB8">
              <w:rPr>
                <w:sz w:val="28"/>
              </w:rPr>
              <w:t>Research link</w:t>
            </w:r>
          </w:p>
        </w:tc>
        <w:tc>
          <w:tcPr>
            <w:tcW w:w="4510" w:type="dxa"/>
            <w:shd w:val="clear" w:color="auto" w:fill="00B0F0"/>
          </w:tcPr>
          <w:p w:rsidR="00C31FB8" w:rsidRPr="00C31FB8" w:rsidRDefault="00C31FB8" w:rsidP="00C31FB8">
            <w:pPr>
              <w:jc w:val="center"/>
              <w:rPr>
                <w:sz w:val="28"/>
              </w:rPr>
            </w:pPr>
            <w:r w:rsidRPr="00C31FB8">
              <w:rPr>
                <w:sz w:val="28"/>
              </w:rPr>
              <w:t>Implementation</w:t>
            </w:r>
          </w:p>
        </w:tc>
        <w:tc>
          <w:tcPr>
            <w:tcW w:w="3865" w:type="dxa"/>
            <w:shd w:val="clear" w:color="auto" w:fill="00B0F0"/>
          </w:tcPr>
          <w:p w:rsidR="00C31FB8" w:rsidRPr="00C31FB8" w:rsidRDefault="00C31FB8" w:rsidP="00C31FB8">
            <w:pPr>
              <w:jc w:val="center"/>
              <w:rPr>
                <w:sz w:val="28"/>
              </w:rPr>
            </w:pPr>
            <w:r w:rsidRPr="00C31FB8">
              <w:rPr>
                <w:sz w:val="28"/>
              </w:rPr>
              <w:t>Impact</w:t>
            </w:r>
          </w:p>
        </w:tc>
      </w:tr>
      <w:tr w:rsidR="00C31FB8" w:rsidTr="00E10A63">
        <w:trPr>
          <w:trHeight w:val="1350"/>
        </w:trPr>
        <w:tc>
          <w:tcPr>
            <w:tcW w:w="2405" w:type="dxa"/>
          </w:tcPr>
          <w:p w:rsidR="00C31FB8" w:rsidRDefault="00E10A63" w:rsidP="00C31FB8">
            <w:r w:rsidRPr="00E10A63">
              <w:t>To build a Science curriculum which develops learning and results in the acquisition of knowledge</w:t>
            </w:r>
            <w:r>
              <w:t>.</w:t>
            </w:r>
          </w:p>
        </w:tc>
        <w:tc>
          <w:tcPr>
            <w:tcW w:w="4678" w:type="dxa"/>
          </w:tcPr>
          <w:p w:rsidR="00C31FB8" w:rsidRDefault="00E10A63" w:rsidP="00E10A63">
            <w:r>
              <w:t>Education Endowment Fund research indicates that by identifying key learning styles of children will underpin the individual’s style of preferred learning. The theory is that learning will therefore be more effective or more efficient if pupils are taught using the specific style or approach that has been identified as their learning style. A successful approach will allow children to make an additional two month’s progress.</w:t>
            </w:r>
          </w:p>
        </w:tc>
        <w:tc>
          <w:tcPr>
            <w:tcW w:w="4510" w:type="dxa"/>
          </w:tcPr>
          <w:p w:rsidR="00E10A63" w:rsidRPr="00E10A63" w:rsidRDefault="00E10A63" w:rsidP="00E10A63">
            <w:pPr>
              <w:rPr>
                <w:b/>
              </w:rPr>
            </w:pPr>
            <w:r w:rsidRPr="00E10A63">
              <w:rPr>
                <w:b/>
              </w:rPr>
              <w:t xml:space="preserve">Developing a scheme of work in line with the National Curriculum.  </w:t>
            </w:r>
          </w:p>
          <w:p w:rsidR="00C31FB8" w:rsidRDefault="00E10A63" w:rsidP="00E10A63">
            <w:pPr>
              <w:rPr>
                <w:i/>
              </w:rPr>
            </w:pPr>
            <w:r w:rsidRPr="00E10A63">
              <w:rPr>
                <w:i/>
              </w:rPr>
              <w:t xml:space="preserve">Teaching and Learning should show progression across all key stages within the strands of Science.  </w:t>
            </w:r>
          </w:p>
          <w:p w:rsidR="00E10A63" w:rsidRDefault="00E10A63" w:rsidP="00E10A63">
            <w:pPr>
              <w:rPr>
                <w:b/>
              </w:rPr>
            </w:pPr>
          </w:p>
          <w:p w:rsidR="00E10A63" w:rsidRPr="00E10A63" w:rsidRDefault="00E10A63" w:rsidP="00E10A63">
            <w:pPr>
              <w:rPr>
                <w:b/>
              </w:rPr>
            </w:pPr>
            <w:r w:rsidRPr="00E10A63">
              <w:rPr>
                <w:b/>
              </w:rPr>
              <w:t xml:space="preserve">Children will access resources to acquire learning through Science equipment, digital technology, practical experiences and photographs. </w:t>
            </w:r>
          </w:p>
          <w:p w:rsidR="00E10A63" w:rsidRPr="00E10A63" w:rsidRDefault="00E10A63" w:rsidP="00E10A63">
            <w:pPr>
              <w:rPr>
                <w:i/>
              </w:rPr>
            </w:pPr>
            <w:r w:rsidRPr="00E10A63">
              <w:rPr>
                <w:i/>
              </w:rPr>
              <w:t>Children will use a range of secondary resources to develop their knowledge and understanding that is integral to their learning.</w:t>
            </w:r>
          </w:p>
        </w:tc>
        <w:tc>
          <w:tcPr>
            <w:tcW w:w="3865" w:type="dxa"/>
          </w:tcPr>
          <w:p w:rsidR="00E10A63" w:rsidRDefault="00E10A63" w:rsidP="00E10A63">
            <w:pPr>
              <w:pStyle w:val="ListParagraph"/>
              <w:numPr>
                <w:ilvl w:val="0"/>
                <w:numId w:val="1"/>
              </w:numPr>
            </w:pPr>
            <w:r>
              <w:t xml:space="preserve">Children will achieve </w:t>
            </w:r>
            <w:r w:rsidRPr="00E10A63">
              <w:t>age related expectations in Science at t</w:t>
            </w:r>
            <w:r>
              <w:t>he end of their cohort year.</w:t>
            </w:r>
          </w:p>
          <w:p w:rsidR="00C31FB8" w:rsidRDefault="00E10A63" w:rsidP="00E10A63">
            <w:pPr>
              <w:pStyle w:val="ListParagraph"/>
              <w:numPr>
                <w:ilvl w:val="0"/>
                <w:numId w:val="1"/>
              </w:numPr>
            </w:pPr>
            <w:r w:rsidRPr="00E10A63">
              <w:t xml:space="preserve">Children will retain knowledge that is pertinent to Science with a real life context.  </w:t>
            </w:r>
          </w:p>
        </w:tc>
      </w:tr>
      <w:tr w:rsidR="00C31FB8" w:rsidTr="00E10A63">
        <w:trPr>
          <w:trHeight w:val="1350"/>
        </w:trPr>
        <w:tc>
          <w:tcPr>
            <w:tcW w:w="2405" w:type="dxa"/>
          </w:tcPr>
          <w:p w:rsidR="00C31FB8" w:rsidRDefault="00E10A63">
            <w:r>
              <w:t>T</w:t>
            </w:r>
            <w:r w:rsidRPr="00E10A63">
              <w:t xml:space="preserve">o distil a lifelong love of science within our pupils. </w:t>
            </w:r>
            <w:r>
              <w:t xml:space="preserve">Children understand that </w:t>
            </w:r>
            <w:r w:rsidRPr="00E10A63">
              <w:t xml:space="preserve">Science has changed our lives and is vital to the world’s future prosperity.  </w:t>
            </w:r>
          </w:p>
        </w:tc>
        <w:tc>
          <w:tcPr>
            <w:tcW w:w="4678" w:type="dxa"/>
          </w:tcPr>
          <w:p w:rsidR="00C31FB8" w:rsidRDefault="005D5ECA" w:rsidP="005D5ECA">
            <w:r>
              <w:t>McCrory (Scientific enquiry and engaging primary-aged children in science lessons Part 2: why teach science via enquiry?) states that maintaining curiosity is an important aspect of science education; scientific enquiry is ‘crucial in developing and sustaining curiosity’ (Smith, 2016: 6). As we know, facilitating and promoting curiosity in science education is integral to the primary science curriculum (Ofsted, 2013); being curious and creative is vital to scientific endeavour.</w:t>
            </w:r>
          </w:p>
        </w:tc>
        <w:tc>
          <w:tcPr>
            <w:tcW w:w="4510" w:type="dxa"/>
          </w:tcPr>
          <w:p w:rsidR="00C31FB8" w:rsidRDefault="00BF25FE" w:rsidP="005D5ECA">
            <w:pPr>
              <w:rPr>
                <w:b/>
              </w:rPr>
            </w:pPr>
            <w:r w:rsidRPr="00BF25FE">
              <w:rPr>
                <w:b/>
              </w:rPr>
              <w:t xml:space="preserve">Science </w:t>
            </w:r>
            <w:r w:rsidR="00E149EC">
              <w:rPr>
                <w:b/>
              </w:rPr>
              <w:t xml:space="preserve">lessons vary in types enquiry </w:t>
            </w:r>
          </w:p>
          <w:p w:rsidR="00BF25FE" w:rsidRDefault="00E149EC" w:rsidP="005D5ECA">
            <w:pPr>
              <w:rPr>
                <w:i/>
              </w:rPr>
            </w:pPr>
            <w:r>
              <w:rPr>
                <w:i/>
              </w:rPr>
              <w:t>Lessons teach a range of enquiry types as well as well as looking at evidence based examples of scientific theories and scientific knowledge</w:t>
            </w:r>
            <w:r w:rsidR="00BF25FE">
              <w:rPr>
                <w:i/>
              </w:rPr>
              <w:t xml:space="preserve">. </w:t>
            </w:r>
          </w:p>
          <w:p w:rsidR="00BF25FE" w:rsidRDefault="00BF25FE" w:rsidP="005D5ECA">
            <w:pPr>
              <w:rPr>
                <w:i/>
              </w:rPr>
            </w:pPr>
          </w:p>
          <w:p w:rsidR="00BF25FE" w:rsidRDefault="00BF25FE" w:rsidP="005D5ECA">
            <w:pPr>
              <w:rPr>
                <w:b/>
              </w:rPr>
            </w:pPr>
            <w:r>
              <w:rPr>
                <w:b/>
              </w:rPr>
              <w:t xml:space="preserve">Children are educated about different famous Scientists and Inventors throughout their school life. </w:t>
            </w:r>
          </w:p>
          <w:p w:rsidR="00BF25FE" w:rsidRPr="00BF25FE" w:rsidRDefault="00BF25FE" w:rsidP="005D5ECA">
            <w:pPr>
              <w:rPr>
                <w:i/>
              </w:rPr>
            </w:pPr>
            <w:r>
              <w:rPr>
                <w:i/>
              </w:rPr>
              <w:t xml:space="preserve">Alongside the curriculum, children learn about how science has changed our lives and who was involved in making these changes happen. </w:t>
            </w:r>
          </w:p>
        </w:tc>
        <w:tc>
          <w:tcPr>
            <w:tcW w:w="3865" w:type="dxa"/>
          </w:tcPr>
          <w:p w:rsidR="00C31FB8" w:rsidRDefault="00BF25FE" w:rsidP="00BF25FE">
            <w:pPr>
              <w:pStyle w:val="ListParagraph"/>
              <w:numPr>
                <w:ilvl w:val="0"/>
                <w:numId w:val="3"/>
              </w:numPr>
            </w:pPr>
            <w:r>
              <w:t xml:space="preserve">Children enjoy and are enthusiastic about science in our school. </w:t>
            </w:r>
          </w:p>
          <w:p w:rsidR="00BF25FE" w:rsidRDefault="00BF25FE" w:rsidP="00BF25FE">
            <w:pPr>
              <w:pStyle w:val="ListParagraph"/>
              <w:numPr>
                <w:ilvl w:val="0"/>
                <w:numId w:val="3"/>
              </w:numPr>
            </w:pPr>
            <w:r w:rsidRPr="00BF25FE">
              <w:t>Children’s work shows a range of topics and evidence of the curriculum coverage for all science topics.</w:t>
            </w:r>
          </w:p>
        </w:tc>
      </w:tr>
      <w:bookmarkEnd w:id="0"/>
    </w:tbl>
    <w:p w:rsidR="00BB53DE" w:rsidRDefault="00BB53DE"/>
    <w:sectPr w:rsidR="00BB53DE" w:rsidSect="00C31FB8">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B8" w:rsidRDefault="00C31FB8" w:rsidP="00C31FB8">
      <w:pPr>
        <w:spacing w:after="0" w:line="240" w:lineRule="auto"/>
      </w:pPr>
      <w:r>
        <w:separator/>
      </w:r>
    </w:p>
  </w:endnote>
  <w:endnote w:type="continuationSeparator" w:id="0">
    <w:p w:rsidR="00C31FB8" w:rsidRDefault="00C31FB8" w:rsidP="00C3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et Roundhand">
    <w:altName w:val="Mistral"/>
    <w:charset w:val="00"/>
    <w:family w:val="script"/>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B8" w:rsidRDefault="00C31FB8" w:rsidP="00C31FB8">
      <w:pPr>
        <w:spacing w:after="0" w:line="240" w:lineRule="auto"/>
      </w:pPr>
      <w:r>
        <w:separator/>
      </w:r>
    </w:p>
  </w:footnote>
  <w:footnote w:type="continuationSeparator" w:id="0">
    <w:p w:rsidR="00C31FB8" w:rsidRDefault="00C31FB8" w:rsidP="00C3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096" w:type="dxa"/>
      <w:tblLook w:val="0000" w:firstRow="0" w:lastRow="0" w:firstColumn="0" w:lastColumn="0" w:noHBand="0" w:noVBand="0"/>
    </w:tblPr>
    <w:tblGrid>
      <w:gridCol w:w="15168"/>
      <w:gridCol w:w="5928"/>
    </w:tblGrid>
    <w:tr w:rsidR="00C31FB8" w:rsidTr="00C31FB8">
      <w:trPr>
        <w:cantSplit/>
      </w:trPr>
      <w:tc>
        <w:tcPr>
          <w:tcW w:w="15168" w:type="dxa"/>
        </w:tcPr>
        <w:p w:rsidR="00C31FB8" w:rsidRPr="00762A93" w:rsidRDefault="00C31FB8" w:rsidP="00C31FB8">
          <w:pPr>
            <w:pStyle w:val="Subtitle"/>
            <w:rPr>
              <w:rFonts w:ascii="Tahoma" w:hAnsi="Tahoma" w:cs="Tahoma"/>
              <w:i/>
              <w:color w:val="000080"/>
              <w:sz w:val="48"/>
              <w:szCs w:val="52"/>
            </w:rPr>
          </w:pPr>
          <w:r w:rsidRPr="009D522A">
            <w:rPr>
              <w:rFonts w:ascii="Tahoma" w:hAnsi="Tahoma" w:cs="Tahoma"/>
              <w:sz w:val="18"/>
              <w:lang w:eastAsia="en-GB"/>
            </w:rPr>
            <w:drawing>
              <wp:anchor distT="0" distB="0" distL="114300" distR="114300" simplePos="0" relativeHeight="251659264" behindDoc="1" locked="0" layoutInCell="1" allowOverlap="1" wp14:anchorId="4AFF9492" wp14:editId="49F38CF7">
                <wp:simplePos x="0" y="0"/>
                <wp:positionH relativeFrom="column">
                  <wp:posOffset>337820</wp:posOffset>
                </wp:positionH>
                <wp:positionV relativeFrom="paragraph">
                  <wp:posOffset>336</wp:posOffset>
                </wp:positionV>
                <wp:extent cx="666750" cy="802640"/>
                <wp:effectExtent l="0" t="0" r="0" b="0"/>
                <wp:wrapSquare wrapText="bothSides"/>
                <wp:docPr id="4" name="Picture 3" descr="sjf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fbadge"/>
                        <pic:cNvPicPr>
                          <a:picLocks noChangeAspect="1" noChangeArrowheads="1"/>
                        </pic:cNvPicPr>
                      </pic:nvPicPr>
                      <pic:blipFill>
                        <a:blip r:embed="rId1">
                          <a:lum bright="30000" contrast="100000"/>
                          <a:extLst>
                            <a:ext uri="{28A0092B-C50C-407E-A947-70E740481C1C}">
                              <a14:useLocalDpi xmlns:a14="http://schemas.microsoft.com/office/drawing/2010/main" val="0"/>
                            </a:ext>
                          </a:extLst>
                        </a:blip>
                        <a:srcRect/>
                        <a:stretch>
                          <a:fillRect/>
                        </a:stretch>
                      </pic:blipFill>
                      <pic:spPr bwMode="auto">
                        <a:xfrm>
                          <a:off x="0" y="0"/>
                          <a:ext cx="66675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22A">
            <w:rPr>
              <w:rFonts w:ascii="Tahoma" w:hAnsi="Tahoma" w:cs="Tahoma"/>
              <w:i/>
              <w:color w:val="000080"/>
              <w:sz w:val="50"/>
              <w:szCs w:val="52"/>
            </w:rPr>
            <w:t>St</w:t>
          </w:r>
          <w:r w:rsidRPr="00762A93">
            <w:rPr>
              <w:rFonts w:ascii="Tahoma" w:hAnsi="Tahoma" w:cs="Tahoma"/>
              <w:i/>
              <w:color w:val="000080"/>
              <w:sz w:val="48"/>
              <w:szCs w:val="52"/>
            </w:rPr>
            <w:t xml:space="preserve"> John Fisher</w:t>
          </w:r>
          <w:r>
            <w:rPr>
              <w:rFonts w:ascii="Tahoma" w:hAnsi="Tahoma" w:cs="Tahoma"/>
              <w:i/>
              <w:color w:val="000080"/>
              <w:sz w:val="48"/>
              <w:szCs w:val="52"/>
            </w:rPr>
            <w:t xml:space="preserve"> </w:t>
          </w:r>
          <w:r w:rsidRPr="00762A93">
            <w:rPr>
              <w:rFonts w:ascii="Tahoma" w:hAnsi="Tahoma" w:cs="Tahoma"/>
              <w:i/>
              <w:color w:val="000080"/>
              <w:sz w:val="48"/>
              <w:szCs w:val="52"/>
            </w:rPr>
            <w:t>Catholic</w:t>
          </w:r>
          <w:r>
            <w:rPr>
              <w:rFonts w:ascii="Tahoma" w:hAnsi="Tahoma" w:cs="Tahoma"/>
              <w:i/>
              <w:color w:val="000080"/>
              <w:sz w:val="48"/>
              <w:szCs w:val="52"/>
            </w:rPr>
            <w:t xml:space="preserve"> Voluntary </w:t>
          </w:r>
          <w:r w:rsidRPr="00762A93">
            <w:rPr>
              <w:rFonts w:ascii="Tahoma" w:hAnsi="Tahoma" w:cs="Tahoma"/>
              <w:i/>
              <w:color w:val="000080"/>
              <w:sz w:val="48"/>
              <w:szCs w:val="52"/>
            </w:rPr>
            <w:t>Academy</w:t>
          </w:r>
        </w:p>
        <w:p w:rsidR="00C31FB8" w:rsidRDefault="007537BD" w:rsidP="00C31FB8">
          <w:pPr>
            <w:pStyle w:val="Subtitle"/>
            <w:rPr>
              <w:rFonts w:ascii="Tahoma" w:hAnsi="Tahoma" w:cs="Tahoma"/>
              <w:b w:val="0"/>
              <w:i/>
              <w:color w:val="000080"/>
              <w:sz w:val="28"/>
              <w:szCs w:val="28"/>
            </w:rPr>
          </w:pPr>
          <w:r>
            <w:rPr>
              <w:rFonts w:ascii="Tahoma" w:hAnsi="Tahoma" w:cs="Tahoma"/>
              <w:b w:val="0"/>
              <w:i/>
              <w:color w:val="000080"/>
              <w:sz w:val="28"/>
              <w:szCs w:val="28"/>
            </w:rPr>
            <w:t>Science</w:t>
          </w:r>
          <w:r w:rsidR="00DD3BDA">
            <w:rPr>
              <w:rFonts w:ascii="Tahoma" w:hAnsi="Tahoma" w:cs="Tahoma"/>
              <w:b w:val="0"/>
              <w:i/>
              <w:color w:val="000080"/>
              <w:sz w:val="28"/>
              <w:szCs w:val="28"/>
            </w:rPr>
            <w:t xml:space="preserve"> Intent, Implement and Impact Review</w:t>
          </w:r>
        </w:p>
        <w:p w:rsidR="00DD3BDA" w:rsidRPr="00762A93" w:rsidRDefault="00E149EC" w:rsidP="00F22228">
          <w:pPr>
            <w:pStyle w:val="Subtitle"/>
            <w:rPr>
              <w:rFonts w:ascii="Tahoma" w:hAnsi="Tahoma" w:cs="Tahoma"/>
              <w:b w:val="0"/>
              <w:i/>
              <w:color w:val="000080"/>
              <w:sz w:val="28"/>
              <w:szCs w:val="28"/>
            </w:rPr>
          </w:pPr>
          <w:r>
            <w:rPr>
              <w:rFonts w:ascii="Tahoma" w:hAnsi="Tahoma" w:cs="Tahoma"/>
              <w:b w:val="0"/>
              <w:i/>
              <w:color w:val="000080"/>
              <w:sz w:val="28"/>
              <w:szCs w:val="28"/>
            </w:rPr>
            <w:t>M Durning</w:t>
          </w:r>
        </w:p>
      </w:tc>
      <w:tc>
        <w:tcPr>
          <w:tcW w:w="5928" w:type="dxa"/>
        </w:tcPr>
        <w:p w:rsidR="00C31FB8" w:rsidRDefault="00C31FB8" w:rsidP="00C31FB8">
          <w:pPr>
            <w:pStyle w:val="Subtitle"/>
            <w:ind w:firstLine="2700"/>
            <w:jc w:val="left"/>
            <w:rPr>
              <w:sz w:val="20"/>
              <w:lang w:val="en-US"/>
            </w:rPr>
          </w:pPr>
        </w:p>
      </w:tc>
    </w:tr>
  </w:tbl>
  <w:p w:rsidR="00C31FB8" w:rsidRDefault="00C31FB8">
    <w:pPr>
      <w:pStyle w:val="Header"/>
    </w:pPr>
  </w:p>
  <w:p w:rsidR="00C31FB8" w:rsidRDefault="00C31F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3E0D"/>
    <w:multiLevelType w:val="hybridMultilevel"/>
    <w:tmpl w:val="5DC6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F0D07"/>
    <w:multiLevelType w:val="hybridMultilevel"/>
    <w:tmpl w:val="6556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82D1E"/>
    <w:multiLevelType w:val="hybridMultilevel"/>
    <w:tmpl w:val="FE84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B8"/>
    <w:rsid w:val="005D5ECA"/>
    <w:rsid w:val="007537BD"/>
    <w:rsid w:val="007C7AAE"/>
    <w:rsid w:val="00BB53DE"/>
    <w:rsid w:val="00BF25FE"/>
    <w:rsid w:val="00C31FB8"/>
    <w:rsid w:val="00DD3BDA"/>
    <w:rsid w:val="00E10A63"/>
    <w:rsid w:val="00E149EC"/>
    <w:rsid w:val="00F2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A7147"/>
  <w15:chartTrackingRefBased/>
  <w15:docId w15:val="{D7845212-FEBD-4968-8AD3-9727334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FB8"/>
  </w:style>
  <w:style w:type="paragraph" w:styleId="Footer">
    <w:name w:val="footer"/>
    <w:basedOn w:val="Normal"/>
    <w:link w:val="FooterChar"/>
    <w:uiPriority w:val="99"/>
    <w:unhideWhenUsed/>
    <w:rsid w:val="00C3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FB8"/>
  </w:style>
  <w:style w:type="paragraph" w:styleId="Subtitle">
    <w:name w:val="Subtitle"/>
    <w:basedOn w:val="Normal"/>
    <w:link w:val="SubtitleChar"/>
    <w:qFormat/>
    <w:rsid w:val="00C31FB8"/>
    <w:pPr>
      <w:spacing w:after="0" w:line="240" w:lineRule="auto"/>
      <w:jc w:val="center"/>
    </w:pPr>
    <w:rPr>
      <w:rFonts w:ascii="Signet Roundhand" w:eastAsia="Times New Roman" w:hAnsi="Signet Roundhand" w:cs="Times New Roman"/>
      <w:b/>
      <w:bCs/>
      <w:iCs/>
      <w:noProof/>
      <w:color w:val="0000FF"/>
      <w:sz w:val="56"/>
      <w:szCs w:val="24"/>
    </w:rPr>
  </w:style>
  <w:style w:type="character" w:customStyle="1" w:styleId="SubtitleChar">
    <w:name w:val="Subtitle Char"/>
    <w:basedOn w:val="DefaultParagraphFont"/>
    <w:link w:val="Subtitle"/>
    <w:rsid w:val="00C31FB8"/>
    <w:rPr>
      <w:rFonts w:ascii="Signet Roundhand" w:eastAsia="Times New Roman" w:hAnsi="Signet Roundhand" w:cs="Times New Roman"/>
      <w:b/>
      <w:bCs/>
      <w:iCs/>
      <w:noProof/>
      <w:color w:val="0000FF"/>
      <w:sz w:val="56"/>
      <w:szCs w:val="24"/>
    </w:rPr>
  </w:style>
  <w:style w:type="table" w:styleId="TableGrid">
    <w:name w:val="Table Grid"/>
    <w:basedOn w:val="TableNormal"/>
    <w:uiPriority w:val="39"/>
    <w:rsid w:val="00C3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Mollie-Ann Baraclough</dc:creator>
  <cp:keywords/>
  <dc:description/>
  <cp:lastModifiedBy>Marianna Savignano</cp:lastModifiedBy>
  <cp:revision>2</cp:revision>
  <dcterms:created xsi:type="dcterms:W3CDTF">2022-02-23T14:23:00Z</dcterms:created>
  <dcterms:modified xsi:type="dcterms:W3CDTF">2022-02-23T14:23:00Z</dcterms:modified>
</cp:coreProperties>
</file>